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F44B7C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E51F14">
        <w:rPr>
          <w:rFonts w:asciiTheme="minorHAnsi" w:hAnsiTheme="minorHAnsi" w:cstheme="minorHAnsi"/>
          <w:sz w:val="21"/>
          <w:szCs w:val="21"/>
        </w:rPr>
        <w:t>815902/2010.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F53D3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E51F14">
        <w:rPr>
          <w:rFonts w:asciiTheme="minorHAnsi" w:hAnsiTheme="minorHAnsi" w:cstheme="minorHAnsi"/>
          <w:sz w:val="21"/>
          <w:szCs w:val="21"/>
        </w:rPr>
        <w:t>Durvalino</w:t>
      </w:r>
      <w:proofErr w:type="spellEnd"/>
      <w:r w:rsidR="00E51F14">
        <w:rPr>
          <w:rFonts w:asciiTheme="minorHAnsi" w:hAnsiTheme="minorHAnsi" w:cstheme="minorHAnsi"/>
          <w:sz w:val="21"/>
          <w:szCs w:val="21"/>
        </w:rPr>
        <w:t xml:space="preserve"> Rodrigues Júnior. 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346BA7">
        <w:rPr>
          <w:rFonts w:asciiTheme="minorHAnsi" w:hAnsiTheme="minorHAnsi" w:cstheme="minorHAnsi"/>
          <w:sz w:val="21"/>
          <w:szCs w:val="21"/>
        </w:rPr>
        <w:t xml:space="preserve">ção n. </w:t>
      </w:r>
      <w:r w:rsidR="00E51F14">
        <w:rPr>
          <w:rFonts w:asciiTheme="minorHAnsi" w:hAnsiTheme="minorHAnsi" w:cstheme="minorHAnsi"/>
          <w:sz w:val="21"/>
          <w:szCs w:val="21"/>
        </w:rPr>
        <w:t>108793, de 21/10/2010.</w:t>
      </w:r>
    </w:p>
    <w:p w:rsidR="00F53D3D" w:rsidRDefault="007723ED" w:rsidP="00AE7548">
      <w:pPr>
        <w:tabs>
          <w:tab w:val="left" w:pos="1335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F53D3D">
        <w:rPr>
          <w:rFonts w:asciiTheme="minorHAnsi" w:hAnsiTheme="minorHAnsi" w:cstheme="minorHAnsi"/>
          <w:sz w:val="21"/>
          <w:szCs w:val="21"/>
        </w:rPr>
        <w:t xml:space="preserve"> </w:t>
      </w:r>
      <w:r w:rsidR="00E51F14">
        <w:rPr>
          <w:rFonts w:asciiTheme="minorHAnsi" w:hAnsiTheme="minorHAnsi" w:cstheme="minorHAnsi"/>
          <w:sz w:val="21"/>
          <w:szCs w:val="21"/>
        </w:rPr>
        <w:t>–</w:t>
      </w:r>
      <w:r w:rsidR="00346BA7">
        <w:rPr>
          <w:rFonts w:asciiTheme="minorHAnsi" w:hAnsiTheme="minorHAnsi" w:cstheme="minorHAnsi"/>
          <w:sz w:val="21"/>
          <w:szCs w:val="21"/>
        </w:rPr>
        <w:t xml:space="preserve"> </w:t>
      </w:r>
      <w:r w:rsidR="00E51F14">
        <w:rPr>
          <w:rFonts w:asciiTheme="minorHAnsi" w:hAnsiTheme="minorHAnsi" w:cstheme="minorHAnsi"/>
          <w:sz w:val="21"/>
          <w:szCs w:val="21"/>
        </w:rPr>
        <w:t xml:space="preserve">Marcos Felipe </w:t>
      </w:r>
      <w:proofErr w:type="spellStart"/>
      <w:r w:rsidR="00E51F14">
        <w:rPr>
          <w:rFonts w:asciiTheme="minorHAnsi" w:hAnsiTheme="minorHAnsi" w:cstheme="minorHAnsi"/>
          <w:sz w:val="21"/>
          <w:szCs w:val="21"/>
        </w:rPr>
        <w:t>Werhalen</w:t>
      </w:r>
      <w:proofErr w:type="spellEnd"/>
      <w:r w:rsidR="00E51F14">
        <w:rPr>
          <w:rFonts w:asciiTheme="minorHAnsi" w:hAnsiTheme="minorHAnsi" w:cstheme="minorHAnsi"/>
          <w:sz w:val="21"/>
          <w:szCs w:val="21"/>
        </w:rPr>
        <w:t xml:space="preserve"> de Freitas – SEDUC.</w:t>
      </w:r>
    </w:p>
    <w:p w:rsidR="00E51F14" w:rsidRDefault="00E51F14" w:rsidP="00AE7548">
      <w:pPr>
        <w:tabs>
          <w:tab w:val="left" w:pos="1335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Advogado – Sérgio </w:t>
      </w:r>
      <w:proofErr w:type="spellStart"/>
      <w:r>
        <w:rPr>
          <w:rFonts w:asciiTheme="minorHAnsi" w:hAnsiTheme="minorHAnsi" w:cstheme="minorHAnsi"/>
          <w:sz w:val="21"/>
          <w:szCs w:val="21"/>
        </w:rPr>
        <w:t>Dresseler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sz w:val="21"/>
          <w:szCs w:val="21"/>
        </w:rPr>
        <w:t>Buss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– OAB/MT 5.431-A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FB4F11" w:rsidRPr="00FB4F11" w:rsidRDefault="0065327C" w:rsidP="00FB4F11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</w:t>
      </w:r>
      <w:r w:rsidR="00EE0F0A">
        <w:rPr>
          <w:rFonts w:asciiTheme="minorHAnsi" w:hAnsiTheme="minorHAnsi" w:cstheme="minorHAnsi"/>
          <w:b/>
          <w:sz w:val="21"/>
          <w:szCs w:val="21"/>
        </w:rPr>
        <w:t>dão 278</w:t>
      </w:r>
      <w:r w:rsidR="00FB4F11">
        <w:rPr>
          <w:rFonts w:asciiTheme="minorHAnsi" w:hAnsiTheme="minorHAnsi" w:cstheme="minorHAnsi"/>
          <w:b/>
          <w:sz w:val="21"/>
          <w:szCs w:val="21"/>
        </w:rPr>
        <w:t>/2021</w:t>
      </w:r>
    </w:p>
    <w:p w:rsidR="00FB4F11" w:rsidRDefault="00FB4F11" w:rsidP="00FB4F11">
      <w:pPr>
        <w:jc w:val="both"/>
        <w:rPr>
          <w:rFonts w:ascii="Calibri" w:hAnsi="Calibri" w:cs="Calibri"/>
          <w:sz w:val="22"/>
          <w:szCs w:val="22"/>
        </w:rPr>
      </w:pPr>
    </w:p>
    <w:p w:rsidR="00FB4F11" w:rsidRPr="00FB4F11" w:rsidRDefault="00FB4F11" w:rsidP="00FB4F11">
      <w:pPr>
        <w:jc w:val="both"/>
        <w:rPr>
          <w:rFonts w:ascii="Calibri" w:hAnsi="Calibri" w:cs="Calibri"/>
          <w:sz w:val="22"/>
          <w:szCs w:val="22"/>
        </w:rPr>
      </w:pPr>
      <w:r w:rsidRPr="00FB4F11">
        <w:rPr>
          <w:rFonts w:ascii="Calibri" w:hAnsi="Calibri" w:cs="Calibri"/>
          <w:sz w:val="22"/>
          <w:szCs w:val="22"/>
        </w:rPr>
        <w:t>Auto de Infração n° 108793, de 21/10/2010. Auto de Inspeção n° 145354, de 21/10/2010. Termo de Apreensão n° 107244, de 21/10/2010. Relatório Técnico n° 8724392/DRR/SUAD/2011. Por transportar 26 00 30 m³ de madeira serrada em desacordo com a licença válida outorgada pelo órgão ambiental competente conforme Auto de Inspeção n° 145354. Decisão Administrativa n° 2323/SPA/SEMA/2018, de 16/10/2018, pela homologação do Auto de Infração n° 108793, de 21/10/2010, arbitrando a multa no valor de R$ 7.800,90 (sete mil, oitocentos reais e noventa centavos) com fulcro no artigo 47 § 1° do Decreto Federal n° 6514/2008. Requer que o recorrente seja na defesa de (fls.19/25), instruída com os documentos de (fls. 26/35), e nas alegações finais de (fls. 43/45), espera- se que Vossas Senhorias hajam por bem dar provimento ao recurso, a fim de, preliminarmente, reconhecer- se a prescrição intercorrente, arguida acima no item n° 2, subitem 2.1., revogando- se a Decis</w:t>
      </w:r>
      <w:r>
        <w:rPr>
          <w:rFonts w:ascii="Calibri" w:hAnsi="Calibri" w:cs="Calibri"/>
          <w:sz w:val="22"/>
          <w:szCs w:val="22"/>
        </w:rPr>
        <w:t>ão Administrativa de (fls. 50-</w:t>
      </w:r>
      <w:r w:rsidR="00237F13">
        <w:rPr>
          <w:rFonts w:ascii="Calibri" w:hAnsi="Calibri" w:cs="Calibri"/>
          <w:sz w:val="22"/>
          <w:szCs w:val="22"/>
        </w:rPr>
        <w:t>V</w:t>
      </w:r>
      <w:r w:rsidRPr="00FB4F11">
        <w:rPr>
          <w:rFonts w:ascii="Calibri" w:hAnsi="Calibri" w:cs="Calibri"/>
          <w:sz w:val="22"/>
          <w:szCs w:val="22"/>
        </w:rPr>
        <w:t>ersus), arquivando- se o processo. Na hipótese de não ser acolhida a tese da ocorrência da prescrição arguida, que seja dado provimento ao recurso para o fim de reconhecer-se que o recorrente não praticou a infração que lhe é imputada, reformando- se a decisão de primeira instância, anulando- se o Auto de Infração de n° 108793 (fl.02) e a multa correspondente, para, finalidade, proceder ao arquivamento do presente processo administrativo.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2B2854" w:rsidRPr="00F37953" w:rsidRDefault="002B2854" w:rsidP="002B2854">
      <w:pPr>
        <w:jc w:val="both"/>
        <w:rPr>
          <w:rFonts w:ascii="Calibri" w:hAnsi="Calibri" w:cs="Calibri"/>
          <w:sz w:val="22"/>
          <w:szCs w:val="22"/>
        </w:rPr>
      </w:pPr>
    </w:p>
    <w:p w:rsidR="00455726" w:rsidRPr="002B2854" w:rsidRDefault="0064387A" w:rsidP="00F37953">
      <w:pPr>
        <w:jc w:val="both"/>
        <w:rPr>
          <w:rFonts w:ascii="Calibri" w:hAnsi="Calibri" w:cs="Calibri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B309B6" w:rsidRPr="005F7436">
        <w:rPr>
          <w:rFonts w:ascii="Book Antiqua" w:hAnsi="Book Antiqua" w:cs="Calibri"/>
          <w:color w:val="000000"/>
          <w:sz w:val="22"/>
          <w:szCs w:val="22"/>
        </w:rPr>
        <w:t xml:space="preserve">, </w:t>
      </w:r>
      <w:r w:rsidR="00FB4F11" w:rsidRPr="00FB4F11">
        <w:rPr>
          <w:rFonts w:ascii="Calibri" w:hAnsi="Calibri" w:cs="Calibri"/>
          <w:sz w:val="22"/>
          <w:szCs w:val="22"/>
        </w:rPr>
        <w:t>por unanimidade, dar provimento ao recurso interposto pelo recorre</w:t>
      </w:r>
      <w:r w:rsidR="0035227D">
        <w:rPr>
          <w:rFonts w:ascii="Calibri" w:hAnsi="Calibri" w:cs="Calibri"/>
          <w:sz w:val="22"/>
          <w:szCs w:val="22"/>
        </w:rPr>
        <w:t>nte, acolhendo o voto do relator</w:t>
      </w:r>
      <w:r w:rsidR="00C5107B">
        <w:rPr>
          <w:rFonts w:ascii="Calibri" w:hAnsi="Calibri" w:cs="Calibri"/>
          <w:sz w:val="22"/>
          <w:szCs w:val="22"/>
        </w:rPr>
        <w:t xml:space="preserve">, </w:t>
      </w:r>
      <w:r w:rsidR="008F5C89">
        <w:rPr>
          <w:rFonts w:ascii="Calibri" w:hAnsi="Calibri" w:cs="Calibri"/>
          <w:sz w:val="22"/>
          <w:szCs w:val="22"/>
        </w:rPr>
        <w:t>reconhecendo</w:t>
      </w:r>
      <w:r w:rsidR="0022448B">
        <w:rPr>
          <w:rFonts w:ascii="Calibri" w:hAnsi="Calibri" w:cs="Calibri"/>
          <w:sz w:val="22"/>
          <w:szCs w:val="22"/>
        </w:rPr>
        <w:t xml:space="preserve"> </w:t>
      </w:r>
      <w:r w:rsidR="00FB4F11" w:rsidRPr="00FB4F11">
        <w:rPr>
          <w:rFonts w:ascii="Calibri" w:hAnsi="Calibri" w:cs="Calibri"/>
          <w:sz w:val="22"/>
          <w:szCs w:val="22"/>
        </w:rPr>
        <w:t>a prescrição intercorrente</w:t>
      </w:r>
      <w:r w:rsidR="000642A9">
        <w:rPr>
          <w:rFonts w:ascii="Calibri" w:hAnsi="Calibri" w:cs="Calibri"/>
          <w:sz w:val="22"/>
          <w:szCs w:val="22"/>
        </w:rPr>
        <w:t>,</w:t>
      </w:r>
      <w:r w:rsidR="00FB4F11" w:rsidRPr="00FB4F11">
        <w:rPr>
          <w:rFonts w:ascii="Calibri" w:hAnsi="Calibri" w:cs="Calibri"/>
          <w:sz w:val="22"/>
          <w:szCs w:val="22"/>
        </w:rPr>
        <w:t xml:space="preserve"> do Termo de Juntada do Aviso de Recebimento – AR, de 10/03/2011, </w:t>
      </w:r>
      <w:r w:rsidR="0035227D">
        <w:rPr>
          <w:rFonts w:ascii="Calibri" w:hAnsi="Calibri" w:cs="Calibri"/>
          <w:sz w:val="22"/>
          <w:szCs w:val="22"/>
        </w:rPr>
        <w:t>(</w:t>
      </w:r>
      <w:r w:rsidR="00FB4F11" w:rsidRPr="00FB4F11">
        <w:rPr>
          <w:rFonts w:ascii="Calibri" w:hAnsi="Calibri" w:cs="Calibri"/>
          <w:sz w:val="22"/>
          <w:szCs w:val="22"/>
        </w:rPr>
        <w:t>fl. 46</w:t>
      </w:r>
      <w:r w:rsidR="0035227D">
        <w:rPr>
          <w:rFonts w:ascii="Calibri" w:hAnsi="Calibri" w:cs="Calibri"/>
          <w:sz w:val="22"/>
          <w:szCs w:val="22"/>
        </w:rPr>
        <w:t>)</w:t>
      </w:r>
      <w:r w:rsidR="00FB4F11" w:rsidRPr="00FB4F11">
        <w:rPr>
          <w:rFonts w:ascii="Calibri" w:hAnsi="Calibri" w:cs="Calibri"/>
          <w:sz w:val="22"/>
          <w:szCs w:val="22"/>
        </w:rPr>
        <w:t xml:space="preserve"> até Despacho da SEMA, de 01/07/2016, </w:t>
      </w:r>
      <w:r w:rsidR="00C5107B">
        <w:rPr>
          <w:rFonts w:ascii="Calibri" w:hAnsi="Calibri" w:cs="Calibri"/>
          <w:sz w:val="22"/>
          <w:szCs w:val="22"/>
        </w:rPr>
        <w:t>(</w:t>
      </w:r>
      <w:r w:rsidR="005C4EBB">
        <w:rPr>
          <w:rFonts w:ascii="Calibri" w:hAnsi="Calibri" w:cs="Calibri"/>
          <w:sz w:val="22"/>
          <w:szCs w:val="22"/>
        </w:rPr>
        <w:t xml:space="preserve">fl. </w:t>
      </w:r>
      <w:r w:rsidR="00FB4F11" w:rsidRPr="00FB4F11">
        <w:rPr>
          <w:rFonts w:ascii="Calibri" w:hAnsi="Calibri" w:cs="Calibri"/>
          <w:sz w:val="22"/>
          <w:szCs w:val="22"/>
        </w:rPr>
        <w:t>47</w:t>
      </w:r>
      <w:r w:rsidR="00C5107B">
        <w:rPr>
          <w:rFonts w:ascii="Calibri" w:hAnsi="Calibri" w:cs="Calibri"/>
          <w:sz w:val="22"/>
          <w:szCs w:val="22"/>
        </w:rPr>
        <w:t>)</w:t>
      </w:r>
      <w:r w:rsidR="00FB4F11" w:rsidRPr="00FB4F11">
        <w:rPr>
          <w:rFonts w:ascii="Calibri" w:hAnsi="Calibri" w:cs="Calibri"/>
          <w:sz w:val="22"/>
          <w:szCs w:val="22"/>
        </w:rPr>
        <w:t>. Decidem, a fim d</w:t>
      </w:r>
      <w:r w:rsidR="00AB4792">
        <w:rPr>
          <w:rFonts w:ascii="Calibri" w:hAnsi="Calibri" w:cs="Calibri"/>
          <w:sz w:val="22"/>
          <w:szCs w:val="22"/>
        </w:rPr>
        <w:t>e, preliminarmente, reconhecer-</w:t>
      </w:r>
      <w:r w:rsidR="00FB4F11" w:rsidRPr="00FB4F11">
        <w:rPr>
          <w:rFonts w:ascii="Calibri" w:hAnsi="Calibri" w:cs="Calibri"/>
          <w:sz w:val="22"/>
          <w:szCs w:val="22"/>
        </w:rPr>
        <w:t>se a prescrição intercorrente, arguida acima no item n° 2, subitem 2.1., revogando- se a Decis</w:t>
      </w:r>
      <w:r w:rsidR="00A44E91">
        <w:rPr>
          <w:rFonts w:ascii="Calibri" w:hAnsi="Calibri" w:cs="Calibri"/>
          <w:sz w:val="22"/>
          <w:szCs w:val="22"/>
        </w:rPr>
        <w:t>ão Administrativa de (fls. 50-</w:t>
      </w:r>
      <w:r w:rsidR="00CB6F90">
        <w:rPr>
          <w:rFonts w:ascii="Calibri" w:hAnsi="Calibri" w:cs="Calibri"/>
          <w:sz w:val="22"/>
          <w:szCs w:val="22"/>
        </w:rPr>
        <w:t>Versus), arquivando-</w:t>
      </w:r>
      <w:r w:rsidR="00FB4F11" w:rsidRPr="00FB4F11">
        <w:rPr>
          <w:rFonts w:ascii="Calibri" w:hAnsi="Calibri" w:cs="Calibri"/>
          <w:sz w:val="22"/>
          <w:szCs w:val="22"/>
        </w:rPr>
        <w:t xml:space="preserve">se o processo. 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091735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173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308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C7F8-E825-4A9E-A2BA-32667A16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21</cp:revision>
  <cp:lastPrinted>2021-06-17T18:16:00Z</cp:lastPrinted>
  <dcterms:created xsi:type="dcterms:W3CDTF">2021-10-02T19:15:00Z</dcterms:created>
  <dcterms:modified xsi:type="dcterms:W3CDTF">2021-10-08T12:14:00Z</dcterms:modified>
</cp:coreProperties>
</file>